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AE58" w14:textId="43184151" w:rsidR="0045695B" w:rsidRDefault="0045695B" w:rsidP="007C6CEF">
      <w:pPr>
        <w:spacing w:after="60"/>
      </w:pPr>
      <w:r w:rsidRPr="00AC3C78">
        <w:rPr>
          <w:b/>
          <w:bCs/>
        </w:rPr>
        <w:t>Federal Register</w:t>
      </w:r>
      <w:r w:rsidR="00AC3C78">
        <w:rPr>
          <w:b/>
          <w:bCs/>
        </w:rPr>
        <w:t xml:space="preserve"> No. 2022-11237</w:t>
      </w:r>
      <w:r>
        <w:t xml:space="preserve"> </w:t>
      </w:r>
      <w:hyperlink r:id="rId7" w:history="1">
        <w:r w:rsidRPr="005E1F4D">
          <w:rPr>
            <w:rStyle w:val="Hyperlink"/>
          </w:rPr>
          <w:t>https://www.federalregister.gov/documents/2022/05/25/2022-11237/draft-guidelines-for-examining-unusual-patterns-of-cancer-and-environmental-concerns</w:t>
        </w:r>
      </w:hyperlink>
      <w:r>
        <w:t xml:space="preserve"> </w:t>
      </w:r>
    </w:p>
    <w:p w14:paraId="31DDC403" w14:textId="148E9C5E" w:rsidR="00AC3C78" w:rsidRDefault="00AC3C78" w:rsidP="007C6CEF">
      <w:pPr>
        <w:spacing w:after="60"/>
        <w:rPr>
          <w:b/>
          <w:bCs/>
        </w:rPr>
      </w:pPr>
      <w:r>
        <w:rPr>
          <w:b/>
          <w:bCs/>
        </w:rPr>
        <w:t>Regulations.gov</w:t>
      </w:r>
      <w:r w:rsidRPr="00AC3C78">
        <w:rPr>
          <w:b/>
          <w:bCs/>
        </w:rPr>
        <w:t>:</w:t>
      </w:r>
      <w:r w:rsidRPr="00AC3C78">
        <w:t xml:space="preserve"> </w:t>
      </w:r>
      <w:hyperlink r:id="rId8" w:history="1">
        <w:r w:rsidRPr="00AC3C78">
          <w:rPr>
            <w:rStyle w:val="Hyperlink"/>
          </w:rPr>
          <w:t>https://www.regulations.gov/document/CDC-2022-0070-0001</w:t>
        </w:r>
      </w:hyperlink>
      <w:r>
        <w:rPr>
          <w:b/>
          <w:bCs/>
        </w:rPr>
        <w:t xml:space="preserve"> </w:t>
      </w:r>
    </w:p>
    <w:p w14:paraId="08AF9714" w14:textId="3E1170C1" w:rsidR="00AC3C78" w:rsidRDefault="00AC3C78" w:rsidP="007C6CEF">
      <w:pPr>
        <w:spacing w:after="60"/>
      </w:pPr>
      <w:r w:rsidRPr="00AC3C78">
        <w:rPr>
          <w:b/>
          <w:bCs/>
        </w:rPr>
        <w:t>Document Citation:</w:t>
      </w:r>
      <w:r>
        <w:t xml:space="preserve"> 87 FR 31888</w:t>
      </w:r>
    </w:p>
    <w:p w14:paraId="7F9B0885" w14:textId="3E1F7534" w:rsidR="0045695B" w:rsidRDefault="0045695B" w:rsidP="007C6CEF">
      <w:pPr>
        <w:spacing w:after="60"/>
      </w:pPr>
      <w:r w:rsidRPr="00AC3C78">
        <w:rPr>
          <w:b/>
          <w:bCs/>
        </w:rPr>
        <w:t>Docket No.</w:t>
      </w:r>
      <w:r>
        <w:t xml:space="preserve"> CDC-</w:t>
      </w:r>
      <w:r w:rsidR="00AC3C78">
        <w:t>2022-0070</w:t>
      </w:r>
    </w:p>
    <w:p w14:paraId="79B1E968" w14:textId="46F4BAD5" w:rsidR="00AC3C78" w:rsidRDefault="00AC3C78" w:rsidP="007C6CEF">
      <w:pPr>
        <w:spacing w:after="60"/>
      </w:pPr>
      <w:r w:rsidRPr="00AC3C78">
        <w:rPr>
          <w:b/>
          <w:bCs/>
        </w:rPr>
        <w:t>Comment Due Date:</w:t>
      </w:r>
      <w:r>
        <w:t xml:space="preserve"> July 25, 2022</w:t>
      </w:r>
    </w:p>
    <w:p w14:paraId="258CD8E7" w14:textId="77777777" w:rsidR="007C6CEF" w:rsidRDefault="007C6CEF" w:rsidP="007C6CEF">
      <w:pPr>
        <w:spacing w:after="60"/>
        <w:rPr>
          <w:rFonts w:eastAsia="Times New Roman" w:cstheme="minorHAnsi"/>
          <w:color w:val="000000" w:themeColor="text1"/>
        </w:rPr>
      </w:pPr>
      <w:r w:rsidRPr="007C6CEF">
        <w:rPr>
          <w:rFonts w:cstheme="minorHAnsi"/>
          <w:b/>
          <w:bCs/>
        </w:rPr>
        <w:t>Summary:</w:t>
      </w:r>
      <w:r w:rsidRPr="007C6CEF">
        <w:rPr>
          <w:rFonts w:cstheme="minorHAnsi"/>
        </w:rPr>
        <w:t xml:space="preserve">  </w:t>
      </w:r>
      <w:r w:rsidRPr="007C6CEF">
        <w:rPr>
          <w:rFonts w:eastAsia="Times New Roman" w:cstheme="minorHAnsi"/>
          <w:color w:val="000000" w:themeColor="text1"/>
          <w:shd w:val="clear" w:color="auto" w:fill="FFFFFF"/>
        </w:rPr>
        <w:t>The Centers for Disease Control and Prevention (CDC), within the Department of Health and Human Services (HHS), announces the opening of a docket to obtain comment on the </w:t>
      </w:r>
      <w:r w:rsidRPr="007C6CEF">
        <w:rPr>
          <w:rFonts w:eastAsia="Times New Roman" w:cstheme="minorHAnsi"/>
          <w:i/>
          <w:iCs/>
          <w:color w:val="000000" w:themeColor="text1"/>
          <w:shd w:val="clear" w:color="auto" w:fill="FFFFFF"/>
        </w:rPr>
        <w:t>Draft Guidelines for Examining Unusual Patterns of Cancer and Environmental Concerns</w:t>
      </w:r>
      <w:r w:rsidRPr="007C6CEF">
        <w:rPr>
          <w:rFonts w:eastAsia="Times New Roman" w:cstheme="minorHAnsi"/>
          <w:color w:val="000000" w:themeColor="text1"/>
          <w:shd w:val="clear" w:color="auto" w:fill="FFFFFF"/>
        </w:rPr>
        <w:t> (2022 Draft Guidelines). The 2022 Draft Guidelines provide updates to the 2013 publication, </w:t>
      </w:r>
      <w:r w:rsidRPr="007C6CEF">
        <w:rPr>
          <w:rFonts w:eastAsia="Times New Roman" w:cstheme="minorHAnsi"/>
          <w:i/>
          <w:iCs/>
          <w:color w:val="000000" w:themeColor="text1"/>
          <w:shd w:val="clear" w:color="auto" w:fill="FFFFFF"/>
        </w:rPr>
        <w:t>Investigating Suspected Cancer Clusters and Responding to Community Concerns: Guidelines from the CDC and the Council of State and Territorial Epidemiologists (CSTE)</w:t>
      </w:r>
      <w:r w:rsidRPr="007C6CEF">
        <w:rPr>
          <w:rFonts w:eastAsia="Times New Roman" w:cstheme="minorHAnsi"/>
          <w:color w:val="000000" w:themeColor="text1"/>
          <w:shd w:val="clear" w:color="auto" w:fill="FFFFFF"/>
        </w:rPr>
        <w:t> (2013 Guidelines). The updates provide state, tribal, local, and territorial health departments guidance for a revised and expanded approach to evaluating concerns about unusual patterns of cancer in communities, including those associated with local environmental concerns. The 2022 Draft Guidelines provide recommendations only; compliance with these recommendations is voluntary.</w:t>
      </w:r>
    </w:p>
    <w:p w14:paraId="4D7B252D" w14:textId="474E6531" w:rsidR="007C6CEF" w:rsidRPr="007C6CEF" w:rsidRDefault="007C6CEF" w:rsidP="007C6CEF">
      <w:pPr>
        <w:rPr>
          <w:rFonts w:eastAsia="Times New Roman" w:cstheme="minorHAnsi"/>
          <w:color w:val="000000" w:themeColor="text1"/>
        </w:rPr>
      </w:pPr>
      <w:r w:rsidRPr="007C6CEF">
        <w:rPr>
          <w:rFonts w:eastAsia="Times New Roman" w:cstheme="minorHAnsi"/>
          <w:b/>
          <w:bCs/>
          <w:color w:val="000000" w:themeColor="text1"/>
        </w:rPr>
        <w:t>Public Participation</w:t>
      </w:r>
    </w:p>
    <w:p w14:paraId="084E0AB0" w14:textId="77777777" w:rsidR="007C6CEF" w:rsidRPr="007C6CEF" w:rsidRDefault="007C6CEF" w:rsidP="007C6CEF">
      <w:pPr>
        <w:shd w:val="clear" w:color="auto" w:fill="FFFFFF"/>
        <w:spacing w:after="150"/>
        <w:rPr>
          <w:rFonts w:eastAsia="Times New Roman" w:cstheme="minorHAnsi"/>
          <w:color w:val="000000" w:themeColor="text1"/>
        </w:rPr>
      </w:pPr>
      <w:r w:rsidRPr="007C6CEF">
        <w:rPr>
          <w:rFonts w:eastAsia="Times New Roman" w:cstheme="minorHAnsi"/>
          <w:color w:val="000000" w:themeColor="text1"/>
        </w:rPr>
        <w:t>Interested persons or organizations are invited to participate by submitting written views, recommendations, and data related to the 2022 Draft Guidelines. In addition, CDC invites comments specifically on the following:</w:t>
      </w:r>
    </w:p>
    <w:p w14:paraId="34FCC586" w14:textId="77777777" w:rsidR="007C6CEF" w:rsidRPr="007C6CEF" w:rsidRDefault="007C6CEF" w:rsidP="007C6CEF">
      <w:pPr>
        <w:shd w:val="clear" w:color="auto" w:fill="FFFFFF"/>
        <w:spacing w:after="150"/>
        <w:rPr>
          <w:rFonts w:eastAsia="Times New Roman" w:cstheme="minorHAnsi"/>
          <w:color w:val="000000" w:themeColor="text1"/>
        </w:rPr>
      </w:pPr>
      <w:r w:rsidRPr="007C6CEF">
        <w:rPr>
          <w:rFonts w:eastAsia="Times New Roman" w:cstheme="minorHAnsi"/>
          <w:color w:val="000000" w:themeColor="text1"/>
        </w:rPr>
        <w:t>1. Please comment on the strengths and limitations of the enhanced approach for routine, proactive evaluation of cancer patterns.</w:t>
      </w:r>
    </w:p>
    <w:p w14:paraId="6032795F" w14:textId="77777777" w:rsidR="007C6CEF" w:rsidRPr="007C6CEF" w:rsidRDefault="007C6CEF" w:rsidP="007C6CEF">
      <w:pPr>
        <w:shd w:val="clear" w:color="auto" w:fill="FFFFFF"/>
        <w:spacing w:after="150"/>
        <w:rPr>
          <w:rFonts w:eastAsia="Times New Roman" w:cstheme="minorHAnsi"/>
          <w:color w:val="000000" w:themeColor="text1"/>
        </w:rPr>
      </w:pPr>
      <w:r w:rsidRPr="007C6CEF">
        <w:rPr>
          <w:rFonts w:eastAsia="Times New Roman" w:cstheme="minorHAnsi"/>
          <w:color w:val="000000" w:themeColor="text1"/>
        </w:rPr>
        <w:t>2. Please comment on the strengths and limitations of the recommendations for enhancing communications and engagement with communities.</w:t>
      </w:r>
    </w:p>
    <w:p w14:paraId="0B672D99" w14:textId="77777777" w:rsidR="007C6CEF" w:rsidRPr="007C6CEF" w:rsidRDefault="007C6CEF" w:rsidP="007C6CEF">
      <w:pPr>
        <w:shd w:val="clear" w:color="auto" w:fill="FFFFFF"/>
        <w:spacing w:after="150"/>
        <w:rPr>
          <w:rFonts w:eastAsia="Times New Roman" w:cstheme="minorHAnsi"/>
          <w:color w:val="000000" w:themeColor="text1"/>
        </w:rPr>
      </w:pPr>
      <w:r w:rsidRPr="007C6CEF">
        <w:rPr>
          <w:rFonts w:eastAsia="Times New Roman" w:cstheme="minorHAnsi"/>
          <w:color w:val="000000" w:themeColor="text1"/>
        </w:rPr>
        <w:t>3. Please comment on the strengths and limitations of the enhanced phased approach for responding to community inquiries.</w:t>
      </w:r>
    </w:p>
    <w:p w14:paraId="104CF245" w14:textId="77777777" w:rsidR="007C6CEF" w:rsidRPr="007C6CEF" w:rsidRDefault="007C6CEF" w:rsidP="007C6CEF">
      <w:pPr>
        <w:shd w:val="clear" w:color="auto" w:fill="FFFFFF"/>
        <w:spacing w:after="150"/>
        <w:rPr>
          <w:rFonts w:eastAsia="Times New Roman" w:cstheme="minorHAnsi"/>
          <w:color w:val="000000" w:themeColor="text1"/>
        </w:rPr>
      </w:pPr>
      <w:r w:rsidRPr="007C6CEF">
        <w:rPr>
          <w:rFonts w:eastAsia="Times New Roman" w:cstheme="minorHAnsi"/>
          <w:color w:val="000000" w:themeColor="text1"/>
        </w:rPr>
        <w:t>4. Please comment on the strengths and limitations of the new criteria for suggesting continued assessment of a report of an unusual pattern of cancer and addressing environmental concerns.</w:t>
      </w:r>
    </w:p>
    <w:p w14:paraId="72F6F091" w14:textId="77777777" w:rsidR="007C6CEF" w:rsidRPr="007C6CEF" w:rsidRDefault="007C6CEF" w:rsidP="007C6CEF">
      <w:pPr>
        <w:shd w:val="clear" w:color="auto" w:fill="FFFFFF"/>
        <w:spacing w:after="150"/>
        <w:rPr>
          <w:rFonts w:eastAsia="Times New Roman" w:cstheme="minorHAnsi"/>
          <w:color w:val="000000" w:themeColor="text1"/>
        </w:rPr>
      </w:pPr>
      <w:r w:rsidRPr="007C6CEF">
        <w:rPr>
          <w:rFonts w:eastAsia="Times New Roman" w:cstheme="minorHAnsi"/>
          <w:color w:val="000000" w:themeColor="text1"/>
        </w:rPr>
        <w:t>5. Please comment on the strengths and limitations of the revised definition of a cancer cluster.</w:t>
      </w:r>
    </w:p>
    <w:p w14:paraId="0677F107" w14:textId="77777777" w:rsidR="007C6CEF" w:rsidRPr="007C6CEF" w:rsidRDefault="007C6CEF" w:rsidP="007C6CEF">
      <w:pPr>
        <w:shd w:val="clear" w:color="auto" w:fill="FFFFFF"/>
        <w:spacing w:after="150"/>
        <w:rPr>
          <w:rFonts w:eastAsia="Times New Roman" w:cstheme="minorHAnsi"/>
          <w:color w:val="000000" w:themeColor="text1"/>
        </w:rPr>
      </w:pPr>
      <w:r w:rsidRPr="007C6CEF">
        <w:rPr>
          <w:rFonts w:eastAsia="Times New Roman" w:cstheme="minorHAnsi"/>
          <w:color w:val="000000" w:themeColor="text1"/>
        </w:rPr>
        <w:t>6. Please comment on the strengths of the 2022 Draft Guidelines and provide suggestions to address weaknesses.</w:t>
      </w:r>
    </w:p>
    <w:p w14:paraId="426640E1" w14:textId="77777777" w:rsidR="007C6CEF" w:rsidRPr="007C6CEF" w:rsidRDefault="007C6CEF" w:rsidP="007C6CEF">
      <w:pPr>
        <w:shd w:val="clear" w:color="auto" w:fill="FFFFFF"/>
        <w:spacing w:after="150"/>
        <w:rPr>
          <w:rFonts w:eastAsia="Times New Roman" w:cstheme="minorHAnsi"/>
          <w:color w:val="000000" w:themeColor="text1"/>
        </w:rPr>
      </w:pPr>
      <w:r w:rsidRPr="007C6CEF">
        <w:rPr>
          <w:rFonts w:eastAsia="Times New Roman" w:cstheme="minorHAnsi"/>
          <w:color w:val="000000" w:themeColor="text1"/>
        </w:rPr>
        <w:t>7. Please comment on whether the language in the 2022 Draft Guidelines is sufficiently clear for both the general public and state, tribal, local, and territorial public health agency staff, in terms of comprehension of the investigative process and recommendations.</w:t>
      </w:r>
    </w:p>
    <w:p w14:paraId="67D3DF70" w14:textId="77777777" w:rsidR="007C6CEF" w:rsidRPr="007C6CEF" w:rsidRDefault="007C6CEF" w:rsidP="007C6CEF">
      <w:pPr>
        <w:shd w:val="clear" w:color="auto" w:fill="FFFFFF"/>
        <w:spacing w:after="150"/>
        <w:rPr>
          <w:rFonts w:eastAsia="Times New Roman" w:cstheme="minorHAnsi"/>
          <w:color w:val="000000" w:themeColor="text1"/>
        </w:rPr>
      </w:pPr>
      <w:r w:rsidRPr="007C6CEF">
        <w:rPr>
          <w:rFonts w:eastAsia="Times New Roman" w:cstheme="minorHAnsi"/>
          <w:color w:val="000000" w:themeColor="text1"/>
        </w:rPr>
        <w:t>8. Please provide any additional comments about the document.</w:t>
      </w:r>
    </w:p>
    <w:p w14:paraId="48731399" w14:textId="77777777" w:rsidR="00054142" w:rsidRDefault="00054142">
      <w:pPr>
        <w:sectPr w:rsidR="00054142" w:rsidSect="007C6CEF">
          <w:headerReference w:type="default" r:id="rId9"/>
          <w:foot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033"/>
        <w:gridCol w:w="2382"/>
        <w:gridCol w:w="2520"/>
        <w:gridCol w:w="3240"/>
        <w:gridCol w:w="3775"/>
      </w:tblGrid>
      <w:tr w:rsidR="00054142" w:rsidRPr="00272127" w14:paraId="671EE6F7" w14:textId="77777777" w:rsidTr="00272127">
        <w:tc>
          <w:tcPr>
            <w:tcW w:w="1033" w:type="dxa"/>
          </w:tcPr>
          <w:p w14:paraId="1D662CAD" w14:textId="692846A8" w:rsidR="00054142" w:rsidRPr="00272127" w:rsidRDefault="00272127" w:rsidP="00272127">
            <w:pPr>
              <w:jc w:val="center"/>
              <w:rPr>
                <w:b/>
                <w:bCs/>
                <w:sz w:val="20"/>
                <w:szCs w:val="20"/>
              </w:rPr>
            </w:pPr>
            <w:r w:rsidRPr="00272127">
              <w:rPr>
                <w:b/>
                <w:bCs/>
                <w:sz w:val="20"/>
                <w:szCs w:val="20"/>
              </w:rPr>
              <w:lastRenderedPageBreak/>
              <w:t>Comment</w:t>
            </w:r>
            <w:r w:rsidR="0010541F" w:rsidRPr="00272127">
              <w:rPr>
                <w:b/>
                <w:bCs/>
                <w:sz w:val="20"/>
                <w:szCs w:val="20"/>
              </w:rPr>
              <w:t xml:space="preserve"> No.</w:t>
            </w:r>
          </w:p>
        </w:tc>
        <w:tc>
          <w:tcPr>
            <w:tcW w:w="2382" w:type="dxa"/>
          </w:tcPr>
          <w:p w14:paraId="73CCAF21" w14:textId="037F7111" w:rsidR="00054142" w:rsidRPr="00272127" w:rsidRDefault="002B63E5" w:rsidP="00272127">
            <w:pPr>
              <w:jc w:val="center"/>
              <w:rPr>
                <w:b/>
                <w:bCs/>
                <w:sz w:val="20"/>
                <w:szCs w:val="20"/>
              </w:rPr>
            </w:pPr>
            <w:r w:rsidRPr="00272127">
              <w:rPr>
                <w:b/>
                <w:bCs/>
                <w:sz w:val="20"/>
                <w:szCs w:val="20"/>
              </w:rPr>
              <w:t>Guideline Reference (Section, Page No., etc.)</w:t>
            </w:r>
          </w:p>
        </w:tc>
        <w:tc>
          <w:tcPr>
            <w:tcW w:w="2520" w:type="dxa"/>
          </w:tcPr>
          <w:p w14:paraId="0E676D5E" w14:textId="51D74A1B" w:rsidR="00054142" w:rsidRPr="00272127" w:rsidRDefault="00A42F71" w:rsidP="00272127">
            <w:pPr>
              <w:jc w:val="center"/>
              <w:rPr>
                <w:b/>
                <w:bCs/>
                <w:sz w:val="20"/>
                <w:szCs w:val="20"/>
              </w:rPr>
            </w:pPr>
            <w:r w:rsidRPr="00272127">
              <w:rPr>
                <w:b/>
                <w:bCs/>
                <w:sz w:val="20"/>
                <w:szCs w:val="20"/>
              </w:rPr>
              <w:t>Guideline Statement</w:t>
            </w:r>
          </w:p>
        </w:tc>
        <w:tc>
          <w:tcPr>
            <w:tcW w:w="3240" w:type="dxa"/>
          </w:tcPr>
          <w:p w14:paraId="30DB63AD" w14:textId="2627A082" w:rsidR="00054142" w:rsidRPr="00272127" w:rsidRDefault="00F104A9" w:rsidP="00272127">
            <w:pPr>
              <w:jc w:val="center"/>
              <w:rPr>
                <w:b/>
                <w:bCs/>
                <w:sz w:val="20"/>
                <w:szCs w:val="20"/>
              </w:rPr>
            </w:pPr>
            <w:r w:rsidRPr="00272127">
              <w:rPr>
                <w:b/>
                <w:bCs/>
                <w:sz w:val="20"/>
                <w:szCs w:val="20"/>
              </w:rPr>
              <w:t>Comment</w:t>
            </w:r>
          </w:p>
        </w:tc>
        <w:tc>
          <w:tcPr>
            <w:tcW w:w="3775" w:type="dxa"/>
          </w:tcPr>
          <w:p w14:paraId="6B8BA3FC" w14:textId="1352A15C" w:rsidR="00054142" w:rsidRPr="00272127" w:rsidRDefault="00F104A9" w:rsidP="00272127">
            <w:pPr>
              <w:jc w:val="center"/>
              <w:rPr>
                <w:b/>
                <w:bCs/>
                <w:sz w:val="20"/>
                <w:szCs w:val="20"/>
              </w:rPr>
            </w:pPr>
            <w:r w:rsidRPr="00272127">
              <w:rPr>
                <w:b/>
                <w:bCs/>
                <w:sz w:val="20"/>
                <w:szCs w:val="20"/>
              </w:rPr>
              <w:t>Sugges</w:t>
            </w:r>
            <w:r w:rsidR="00272127" w:rsidRPr="00272127">
              <w:rPr>
                <w:b/>
                <w:bCs/>
                <w:sz w:val="20"/>
                <w:szCs w:val="20"/>
              </w:rPr>
              <w:t>ted alternative approach, language, etc. (if applicable)</w:t>
            </w:r>
          </w:p>
        </w:tc>
      </w:tr>
      <w:tr w:rsidR="00054142" w:rsidRPr="00272127" w14:paraId="0A559F21" w14:textId="77777777" w:rsidTr="00272127">
        <w:tc>
          <w:tcPr>
            <w:tcW w:w="1033" w:type="dxa"/>
          </w:tcPr>
          <w:p w14:paraId="278F8BA4" w14:textId="72F51496" w:rsidR="00054142" w:rsidRPr="00D93DB4" w:rsidRDefault="009B2162">
            <w:pPr>
              <w:rPr>
                <w:i/>
                <w:iCs/>
                <w:sz w:val="20"/>
                <w:szCs w:val="20"/>
              </w:rPr>
            </w:pPr>
            <w:r w:rsidRPr="00D93DB4">
              <w:rPr>
                <w:i/>
                <w:iCs/>
                <w:sz w:val="20"/>
                <w:szCs w:val="20"/>
              </w:rPr>
              <w:t>Example:</w:t>
            </w:r>
          </w:p>
        </w:tc>
        <w:tc>
          <w:tcPr>
            <w:tcW w:w="2382" w:type="dxa"/>
          </w:tcPr>
          <w:p w14:paraId="48ECDA5C" w14:textId="77777777" w:rsidR="00054142" w:rsidRPr="00272127" w:rsidRDefault="00054142">
            <w:pPr>
              <w:rPr>
                <w:sz w:val="20"/>
                <w:szCs w:val="20"/>
              </w:rPr>
            </w:pPr>
          </w:p>
        </w:tc>
        <w:tc>
          <w:tcPr>
            <w:tcW w:w="2520" w:type="dxa"/>
          </w:tcPr>
          <w:p w14:paraId="4181D5B6" w14:textId="77777777" w:rsidR="00054142" w:rsidRPr="00272127" w:rsidRDefault="00054142">
            <w:pPr>
              <w:rPr>
                <w:sz w:val="20"/>
                <w:szCs w:val="20"/>
              </w:rPr>
            </w:pPr>
          </w:p>
        </w:tc>
        <w:tc>
          <w:tcPr>
            <w:tcW w:w="3240" w:type="dxa"/>
          </w:tcPr>
          <w:p w14:paraId="2CF07C3D" w14:textId="77777777" w:rsidR="00054142" w:rsidRPr="00272127" w:rsidRDefault="00054142">
            <w:pPr>
              <w:rPr>
                <w:sz w:val="20"/>
                <w:szCs w:val="20"/>
              </w:rPr>
            </w:pPr>
          </w:p>
        </w:tc>
        <w:tc>
          <w:tcPr>
            <w:tcW w:w="3775" w:type="dxa"/>
          </w:tcPr>
          <w:p w14:paraId="20DAF0D3" w14:textId="77777777" w:rsidR="00054142" w:rsidRPr="00272127" w:rsidRDefault="00054142">
            <w:pPr>
              <w:rPr>
                <w:sz w:val="20"/>
                <w:szCs w:val="20"/>
              </w:rPr>
            </w:pPr>
          </w:p>
        </w:tc>
      </w:tr>
      <w:tr w:rsidR="00054142" w:rsidRPr="00D93DB4" w14:paraId="1F6B093F" w14:textId="77777777" w:rsidTr="00272127">
        <w:tc>
          <w:tcPr>
            <w:tcW w:w="1033" w:type="dxa"/>
          </w:tcPr>
          <w:p w14:paraId="11C66B9D" w14:textId="3F23A72B" w:rsidR="00054142" w:rsidRPr="00D93DB4" w:rsidRDefault="009B2162">
            <w:pPr>
              <w:rPr>
                <w:i/>
                <w:iCs/>
                <w:sz w:val="20"/>
                <w:szCs w:val="20"/>
              </w:rPr>
            </w:pPr>
            <w:r w:rsidRPr="00D93DB4">
              <w:rPr>
                <w:i/>
                <w:iCs/>
                <w:sz w:val="20"/>
                <w:szCs w:val="20"/>
              </w:rPr>
              <w:t>1</w:t>
            </w:r>
          </w:p>
        </w:tc>
        <w:tc>
          <w:tcPr>
            <w:tcW w:w="2382" w:type="dxa"/>
          </w:tcPr>
          <w:p w14:paraId="041B2979" w14:textId="3C515DD1" w:rsidR="00054142" w:rsidRPr="00D93DB4" w:rsidRDefault="002033F5">
            <w:pPr>
              <w:rPr>
                <w:i/>
                <w:iCs/>
                <w:sz w:val="20"/>
                <w:szCs w:val="20"/>
              </w:rPr>
            </w:pPr>
            <w:r w:rsidRPr="00D93DB4">
              <w:rPr>
                <w:i/>
                <w:iCs/>
                <w:sz w:val="20"/>
                <w:szCs w:val="20"/>
              </w:rPr>
              <w:t xml:space="preserve">Introduction, </w:t>
            </w:r>
            <w:r w:rsidR="00924183" w:rsidRPr="00D93DB4">
              <w:rPr>
                <w:i/>
                <w:iCs/>
                <w:sz w:val="20"/>
                <w:szCs w:val="20"/>
              </w:rPr>
              <w:t>Quick Summary, p. 1</w:t>
            </w:r>
          </w:p>
        </w:tc>
        <w:tc>
          <w:tcPr>
            <w:tcW w:w="2520" w:type="dxa"/>
          </w:tcPr>
          <w:p w14:paraId="2112CCB8" w14:textId="3629CD85" w:rsidR="00054142" w:rsidRPr="00D93DB4" w:rsidRDefault="00924183">
            <w:pPr>
              <w:rPr>
                <w:i/>
                <w:iCs/>
                <w:sz w:val="20"/>
                <w:szCs w:val="20"/>
              </w:rPr>
            </w:pPr>
            <w:r w:rsidRPr="00D93DB4">
              <w:rPr>
                <w:i/>
                <w:iCs/>
                <w:sz w:val="20"/>
                <w:szCs w:val="20"/>
              </w:rPr>
              <w:t>“…unusual patterns</w:t>
            </w:r>
            <w:r w:rsidR="00D93DB4" w:rsidRPr="00D93DB4">
              <w:rPr>
                <w:i/>
                <w:iCs/>
                <w:sz w:val="20"/>
                <w:szCs w:val="20"/>
              </w:rPr>
              <w:t>…</w:t>
            </w:r>
            <w:r w:rsidRPr="00D93DB4">
              <w:rPr>
                <w:i/>
                <w:iCs/>
                <w:sz w:val="20"/>
                <w:szCs w:val="20"/>
              </w:rPr>
              <w:t>”</w:t>
            </w:r>
          </w:p>
        </w:tc>
        <w:tc>
          <w:tcPr>
            <w:tcW w:w="3240" w:type="dxa"/>
          </w:tcPr>
          <w:p w14:paraId="69446670" w14:textId="3CDFF1DF" w:rsidR="00054142" w:rsidRPr="00D93DB4" w:rsidRDefault="00924183">
            <w:pPr>
              <w:rPr>
                <w:i/>
                <w:iCs/>
                <w:sz w:val="20"/>
                <w:szCs w:val="20"/>
              </w:rPr>
            </w:pPr>
            <w:r w:rsidRPr="00D93DB4">
              <w:rPr>
                <w:i/>
                <w:iCs/>
                <w:sz w:val="20"/>
                <w:szCs w:val="20"/>
              </w:rPr>
              <w:t>The term “unusual” should be clearly defined</w:t>
            </w:r>
            <w:r w:rsidR="00C4495F" w:rsidRPr="00D93DB4">
              <w:rPr>
                <w:i/>
                <w:iCs/>
                <w:sz w:val="20"/>
                <w:szCs w:val="20"/>
              </w:rPr>
              <w:t xml:space="preserve">. What might be “unusual” to the community or </w:t>
            </w:r>
            <w:r w:rsidR="00195CA6" w:rsidRPr="00D93DB4">
              <w:rPr>
                <w:i/>
                <w:iCs/>
                <w:sz w:val="20"/>
                <w:szCs w:val="20"/>
              </w:rPr>
              <w:t xml:space="preserve">other public health professionals </w:t>
            </w:r>
            <w:r w:rsidR="00C4495F" w:rsidRPr="00D93DB4">
              <w:rPr>
                <w:i/>
                <w:iCs/>
                <w:sz w:val="20"/>
                <w:szCs w:val="20"/>
              </w:rPr>
              <w:t>may not be “usual” to cancer epidemiologists</w:t>
            </w:r>
            <w:r w:rsidR="00195CA6" w:rsidRPr="00D93DB4">
              <w:rPr>
                <w:i/>
                <w:iCs/>
                <w:sz w:val="20"/>
                <w:szCs w:val="20"/>
              </w:rPr>
              <w:t>.</w:t>
            </w:r>
          </w:p>
        </w:tc>
        <w:tc>
          <w:tcPr>
            <w:tcW w:w="3775" w:type="dxa"/>
          </w:tcPr>
          <w:p w14:paraId="001ACE5A" w14:textId="6EF115ED" w:rsidR="00054142" w:rsidRPr="00D93DB4" w:rsidRDefault="00195CA6">
            <w:pPr>
              <w:rPr>
                <w:i/>
                <w:iCs/>
                <w:sz w:val="20"/>
                <w:szCs w:val="20"/>
              </w:rPr>
            </w:pPr>
            <w:r w:rsidRPr="00D93DB4">
              <w:rPr>
                <w:i/>
                <w:iCs/>
                <w:sz w:val="20"/>
                <w:szCs w:val="20"/>
              </w:rPr>
              <w:t xml:space="preserve">Avoid utilizing </w:t>
            </w:r>
            <w:r w:rsidR="00BC0EC5" w:rsidRPr="00D93DB4">
              <w:rPr>
                <w:i/>
                <w:iCs/>
                <w:sz w:val="20"/>
                <w:szCs w:val="20"/>
              </w:rPr>
              <w:t>ambiguous terms in overall guidance or define it</w:t>
            </w:r>
            <w:r w:rsidR="002426A7" w:rsidRPr="00D93DB4">
              <w:rPr>
                <w:i/>
                <w:iCs/>
                <w:sz w:val="20"/>
                <w:szCs w:val="20"/>
              </w:rPr>
              <w:t xml:space="preserve"> up front in the document to provide specific context to audience on what is mean by “unusual”.</w:t>
            </w:r>
          </w:p>
        </w:tc>
      </w:tr>
      <w:tr w:rsidR="00D93DB4" w:rsidRPr="00D93DB4" w14:paraId="3E3D99F0" w14:textId="77777777" w:rsidTr="00272127">
        <w:tc>
          <w:tcPr>
            <w:tcW w:w="1033" w:type="dxa"/>
          </w:tcPr>
          <w:p w14:paraId="5E8E95B6" w14:textId="77777777" w:rsidR="00D93DB4" w:rsidRPr="00D93DB4" w:rsidRDefault="00D93DB4">
            <w:pPr>
              <w:rPr>
                <w:sz w:val="20"/>
                <w:szCs w:val="20"/>
              </w:rPr>
            </w:pPr>
          </w:p>
        </w:tc>
        <w:tc>
          <w:tcPr>
            <w:tcW w:w="2382" w:type="dxa"/>
          </w:tcPr>
          <w:p w14:paraId="1F125D6E" w14:textId="77777777" w:rsidR="00D93DB4" w:rsidRPr="00D93DB4" w:rsidRDefault="00D93DB4">
            <w:pPr>
              <w:rPr>
                <w:sz w:val="20"/>
                <w:szCs w:val="20"/>
              </w:rPr>
            </w:pPr>
          </w:p>
        </w:tc>
        <w:tc>
          <w:tcPr>
            <w:tcW w:w="2520" w:type="dxa"/>
          </w:tcPr>
          <w:p w14:paraId="1E971789" w14:textId="77777777" w:rsidR="00D93DB4" w:rsidRPr="00D93DB4" w:rsidRDefault="00D93DB4">
            <w:pPr>
              <w:rPr>
                <w:sz w:val="20"/>
                <w:szCs w:val="20"/>
              </w:rPr>
            </w:pPr>
          </w:p>
        </w:tc>
        <w:tc>
          <w:tcPr>
            <w:tcW w:w="3240" w:type="dxa"/>
          </w:tcPr>
          <w:p w14:paraId="256E9CB1" w14:textId="77777777" w:rsidR="00D93DB4" w:rsidRPr="00D93DB4" w:rsidRDefault="00D93DB4">
            <w:pPr>
              <w:rPr>
                <w:sz w:val="20"/>
                <w:szCs w:val="20"/>
              </w:rPr>
            </w:pPr>
          </w:p>
        </w:tc>
        <w:tc>
          <w:tcPr>
            <w:tcW w:w="3775" w:type="dxa"/>
          </w:tcPr>
          <w:p w14:paraId="1F7DF570" w14:textId="77777777" w:rsidR="00D93DB4" w:rsidRPr="00D93DB4" w:rsidRDefault="00D93DB4">
            <w:pPr>
              <w:rPr>
                <w:sz w:val="20"/>
                <w:szCs w:val="20"/>
              </w:rPr>
            </w:pPr>
          </w:p>
        </w:tc>
      </w:tr>
      <w:tr w:rsidR="006B2C8D" w:rsidRPr="00D93DB4" w14:paraId="4236E2C2" w14:textId="77777777" w:rsidTr="00272127">
        <w:tc>
          <w:tcPr>
            <w:tcW w:w="1033" w:type="dxa"/>
          </w:tcPr>
          <w:p w14:paraId="6B8F9FE9" w14:textId="77777777" w:rsidR="006B2C8D" w:rsidRPr="00D93DB4" w:rsidRDefault="006B2C8D">
            <w:pPr>
              <w:rPr>
                <w:sz w:val="20"/>
                <w:szCs w:val="20"/>
              </w:rPr>
            </w:pPr>
          </w:p>
        </w:tc>
        <w:tc>
          <w:tcPr>
            <w:tcW w:w="2382" w:type="dxa"/>
          </w:tcPr>
          <w:p w14:paraId="7FF68DEC" w14:textId="77777777" w:rsidR="006B2C8D" w:rsidRPr="00D93DB4" w:rsidRDefault="006B2C8D">
            <w:pPr>
              <w:rPr>
                <w:sz w:val="20"/>
                <w:szCs w:val="20"/>
              </w:rPr>
            </w:pPr>
          </w:p>
        </w:tc>
        <w:tc>
          <w:tcPr>
            <w:tcW w:w="2520" w:type="dxa"/>
          </w:tcPr>
          <w:p w14:paraId="30AFA6AC" w14:textId="77777777" w:rsidR="006B2C8D" w:rsidRPr="00D93DB4" w:rsidRDefault="006B2C8D">
            <w:pPr>
              <w:rPr>
                <w:sz w:val="20"/>
                <w:szCs w:val="20"/>
              </w:rPr>
            </w:pPr>
          </w:p>
        </w:tc>
        <w:tc>
          <w:tcPr>
            <w:tcW w:w="3240" w:type="dxa"/>
          </w:tcPr>
          <w:p w14:paraId="5D99EBC6" w14:textId="77777777" w:rsidR="006B2C8D" w:rsidRPr="00D93DB4" w:rsidRDefault="006B2C8D">
            <w:pPr>
              <w:rPr>
                <w:sz w:val="20"/>
                <w:szCs w:val="20"/>
              </w:rPr>
            </w:pPr>
          </w:p>
        </w:tc>
        <w:tc>
          <w:tcPr>
            <w:tcW w:w="3775" w:type="dxa"/>
          </w:tcPr>
          <w:p w14:paraId="74F6FC38" w14:textId="77777777" w:rsidR="006B2C8D" w:rsidRPr="00D93DB4" w:rsidRDefault="006B2C8D">
            <w:pPr>
              <w:rPr>
                <w:sz w:val="20"/>
                <w:szCs w:val="20"/>
              </w:rPr>
            </w:pPr>
          </w:p>
        </w:tc>
      </w:tr>
      <w:tr w:rsidR="006B2C8D" w:rsidRPr="00D93DB4" w14:paraId="581C7A4D" w14:textId="77777777" w:rsidTr="00272127">
        <w:tc>
          <w:tcPr>
            <w:tcW w:w="1033" w:type="dxa"/>
          </w:tcPr>
          <w:p w14:paraId="20DA6C68" w14:textId="77777777" w:rsidR="006B2C8D" w:rsidRPr="00D93DB4" w:rsidRDefault="006B2C8D">
            <w:pPr>
              <w:rPr>
                <w:sz w:val="20"/>
                <w:szCs w:val="20"/>
              </w:rPr>
            </w:pPr>
          </w:p>
        </w:tc>
        <w:tc>
          <w:tcPr>
            <w:tcW w:w="2382" w:type="dxa"/>
          </w:tcPr>
          <w:p w14:paraId="767D9EB1" w14:textId="77777777" w:rsidR="006B2C8D" w:rsidRPr="00D93DB4" w:rsidRDefault="006B2C8D">
            <w:pPr>
              <w:rPr>
                <w:sz w:val="20"/>
                <w:szCs w:val="20"/>
              </w:rPr>
            </w:pPr>
          </w:p>
        </w:tc>
        <w:tc>
          <w:tcPr>
            <w:tcW w:w="2520" w:type="dxa"/>
          </w:tcPr>
          <w:p w14:paraId="4C3DEABE" w14:textId="77777777" w:rsidR="006B2C8D" w:rsidRPr="00D93DB4" w:rsidRDefault="006B2C8D">
            <w:pPr>
              <w:rPr>
                <w:sz w:val="20"/>
                <w:szCs w:val="20"/>
              </w:rPr>
            </w:pPr>
          </w:p>
        </w:tc>
        <w:tc>
          <w:tcPr>
            <w:tcW w:w="3240" w:type="dxa"/>
          </w:tcPr>
          <w:p w14:paraId="7E63559C" w14:textId="77777777" w:rsidR="006B2C8D" w:rsidRPr="00D93DB4" w:rsidRDefault="006B2C8D">
            <w:pPr>
              <w:rPr>
                <w:sz w:val="20"/>
                <w:szCs w:val="20"/>
              </w:rPr>
            </w:pPr>
          </w:p>
        </w:tc>
        <w:tc>
          <w:tcPr>
            <w:tcW w:w="3775" w:type="dxa"/>
          </w:tcPr>
          <w:p w14:paraId="43D832AA" w14:textId="77777777" w:rsidR="006B2C8D" w:rsidRPr="00D93DB4" w:rsidRDefault="006B2C8D">
            <w:pPr>
              <w:rPr>
                <w:sz w:val="20"/>
                <w:szCs w:val="20"/>
              </w:rPr>
            </w:pPr>
          </w:p>
        </w:tc>
      </w:tr>
      <w:tr w:rsidR="006B2C8D" w:rsidRPr="00D93DB4" w14:paraId="63BFDBDC" w14:textId="77777777" w:rsidTr="00272127">
        <w:tc>
          <w:tcPr>
            <w:tcW w:w="1033" w:type="dxa"/>
          </w:tcPr>
          <w:p w14:paraId="71967542" w14:textId="77777777" w:rsidR="006B2C8D" w:rsidRPr="00D93DB4" w:rsidRDefault="006B2C8D">
            <w:pPr>
              <w:rPr>
                <w:sz w:val="20"/>
                <w:szCs w:val="20"/>
              </w:rPr>
            </w:pPr>
          </w:p>
        </w:tc>
        <w:tc>
          <w:tcPr>
            <w:tcW w:w="2382" w:type="dxa"/>
          </w:tcPr>
          <w:p w14:paraId="341D633B" w14:textId="77777777" w:rsidR="006B2C8D" w:rsidRPr="00D93DB4" w:rsidRDefault="006B2C8D">
            <w:pPr>
              <w:rPr>
                <w:sz w:val="20"/>
                <w:szCs w:val="20"/>
              </w:rPr>
            </w:pPr>
          </w:p>
        </w:tc>
        <w:tc>
          <w:tcPr>
            <w:tcW w:w="2520" w:type="dxa"/>
          </w:tcPr>
          <w:p w14:paraId="6674AAD1" w14:textId="77777777" w:rsidR="006B2C8D" w:rsidRPr="00D93DB4" w:rsidRDefault="006B2C8D">
            <w:pPr>
              <w:rPr>
                <w:sz w:val="20"/>
                <w:szCs w:val="20"/>
              </w:rPr>
            </w:pPr>
          </w:p>
        </w:tc>
        <w:tc>
          <w:tcPr>
            <w:tcW w:w="3240" w:type="dxa"/>
          </w:tcPr>
          <w:p w14:paraId="24CA12B5" w14:textId="77777777" w:rsidR="006B2C8D" w:rsidRPr="00D93DB4" w:rsidRDefault="006B2C8D">
            <w:pPr>
              <w:rPr>
                <w:sz w:val="20"/>
                <w:szCs w:val="20"/>
              </w:rPr>
            </w:pPr>
          </w:p>
        </w:tc>
        <w:tc>
          <w:tcPr>
            <w:tcW w:w="3775" w:type="dxa"/>
          </w:tcPr>
          <w:p w14:paraId="773C6A1D" w14:textId="77777777" w:rsidR="006B2C8D" w:rsidRPr="00D93DB4" w:rsidRDefault="006B2C8D">
            <w:pPr>
              <w:rPr>
                <w:sz w:val="20"/>
                <w:szCs w:val="20"/>
              </w:rPr>
            </w:pPr>
          </w:p>
        </w:tc>
      </w:tr>
    </w:tbl>
    <w:p w14:paraId="6F4DC888" w14:textId="77777777" w:rsidR="00AC3C78" w:rsidRDefault="00AC3C78"/>
    <w:sectPr w:rsidR="00AC3C78" w:rsidSect="000541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16CE" w14:textId="77777777" w:rsidR="0045695B" w:rsidRDefault="0045695B" w:rsidP="0045695B">
      <w:r>
        <w:separator/>
      </w:r>
    </w:p>
  </w:endnote>
  <w:endnote w:type="continuationSeparator" w:id="0">
    <w:p w14:paraId="598C0A19" w14:textId="77777777" w:rsidR="0045695B" w:rsidRDefault="0045695B" w:rsidP="0045695B">
      <w:r>
        <w:continuationSeparator/>
      </w:r>
    </w:p>
  </w:endnote>
  <w:endnote w:type="continuationNotice" w:id="1">
    <w:p w14:paraId="7364F2A2" w14:textId="77777777" w:rsidR="000E44F8" w:rsidRDefault="000E4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F65A" w14:textId="7835AB82" w:rsidR="00E93CDF" w:rsidRPr="00B24B35" w:rsidRDefault="00E93CDF" w:rsidP="00B24B35">
    <w:pPr>
      <w:pStyle w:val="Footer"/>
      <w:jc w:val="center"/>
      <w:rPr>
        <w:rFonts w:cstheme="minorHAnsi"/>
        <w:sz w:val="22"/>
        <w:szCs w:val="22"/>
      </w:rPr>
    </w:pPr>
    <w:r w:rsidRPr="00B24B35">
      <w:rPr>
        <w:rFonts w:cstheme="minorHAnsi"/>
        <w:sz w:val="22"/>
        <w:szCs w:val="22"/>
      </w:rPr>
      <w:t xml:space="preserve">Page </w:t>
    </w:r>
    <w:r w:rsidRPr="00B24B35">
      <w:rPr>
        <w:rFonts w:cstheme="minorHAnsi"/>
        <w:sz w:val="22"/>
        <w:szCs w:val="22"/>
      </w:rPr>
      <w:fldChar w:fldCharType="begin"/>
    </w:r>
    <w:r w:rsidRPr="00B24B35">
      <w:rPr>
        <w:rFonts w:cstheme="minorHAnsi"/>
        <w:sz w:val="22"/>
        <w:szCs w:val="22"/>
      </w:rPr>
      <w:instrText xml:space="preserve"> PAGE </w:instrText>
    </w:r>
    <w:r w:rsidRPr="00B24B35">
      <w:rPr>
        <w:rFonts w:cstheme="minorHAnsi"/>
        <w:sz w:val="22"/>
        <w:szCs w:val="22"/>
      </w:rPr>
      <w:fldChar w:fldCharType="separate"/>
    </w:r>
    <w:r w:rsidRPr="00B24B35">
      <w:rPr>
        <w:rFonts w:cstheme="minorHAnsi"/>
        <w:noProof/>
        <w:sz w:val="22"/>
        <w:szCs w:val="22"/>
      </w:rPr>
      <w:t>1</w:t>
    </w:r>
    <w:r w:rsidRPr="00B24B35">
      <w:rPr>
        <w:rFonts w:cstheme="minorHAnsi"/>
        <w:sz w:val="22"/>
        <w:szCs w:val="22"/>
      </w:rPr>
      <w:fldChar w:fldCharType="end"/>
    </w:r>
    <w:r w:rsidRPr="00B24B35">
      <w:rPr>
        <w:rFonts w:cstheme="minorHAnsi"/>
        <w:sz w:val="22"/>
        <w:szCs w:val="22"/>
      </w:rPr>
      <w:t xml:space="preserve"> of </w:t>
    </w:r>
    <w:r w:rsidRPr="00B24B35">
      <w:rPr>
        <w:rFonts w:cstheme="minorHAnsi"/>
        <w:sz w:val="22"/>
        <w:szCs w:val="22"/>
      </w:rPr>
      <w:fldChar w:fldCharType="begin"/>
    </w:r>
    <w:r w:rsidRPr="00B24B35">
      <w:rPr>
        <w:rFonts w:cstheme="minorHAnsi"/>
        <w:sz w:val="22"/>
        <w:szCs w:val="22"/>
      </w:rPr>
      <w:instrText xml:space="preserve"> NUMPAGES </w:instrText>
    </w:r>
    <w:r w:rsidRPr="00B24B35">
      <w:rPr>
        <w:rFonts w:cstheme="minorHAnsi"/>
        <w:sz w:val="22"/>
        <w:szCs w:val="22"/>
      </w:rPr>
      <w:fldChar w:fldCharType="separate"/>
    </w:r>
    <w:r w:rsidRPr="00B24B35">
      <w:rPr>
        <w:rFonts w:cstheme="minorHAnsi"/>
        <w:noProof/>
        <w:sz w:val="22"/>
        <w:szCs w:val="22"/>
      </w:rPr>
      <w:t>2</w:t>
    </w:r>
    <w:r w:rsidRPr="00B24B35">
      <w:rPr>
        <w:rFonts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5CDB" w14:textId="77777777" w:rsidR="0045695B" w:rsidRDefault="0045695B" w:rsidP="0045695B">
      <w:r>
        <w:separator/>
      </w:r>
    </w:p>
  </w:footnote>
  <w:footnote w:type="continuationSeparator" w:id="0">
    <w:p w14:paraId="27CB3A96" w14:textId="77777777" w:rsidR="0045695B" w:rsidRDefault="0045695B" w:rsidP="0045695B">
      <w:r>
        <w:continuationSeparator/>
      </w:r>
    </w:p>
  </w:footnote>
  <w:footnote w:type="continuationNotice" w:id="1">
    <w:p w14:paraId="6316DD9D" w14:textId="77777777" w:rsidR="000E44F8" w:rsidRDefault="000E4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366D" w14:textId="5E673685" w:rsidR="0045695B" w:rsidRDefault="0045695B" w:rsidP="007C6CEF">
    <w:pPr>
      <w:pStyle w:val="Header"/>
      <w:jc w:val="center"/>
      <w:rPr>
        <w:b/>
        <w:bCs/>
      </w:rPr>
    </w:pPr>
    <w:r w:rsidRPr="007C6CEF">
      <w:rPr>
        <w:b/>
        <w:bCs/>
      </w:rPr>
      <w:t>NAACCR Comment Worksheet</w:t>
    </w:r>
  </w:p>
  <w:p w14:paraId="38A3827B" w14:textId="1222DDFF" w:rsidR="002A4292" w:rsidRPr="006D41D9" w:rsidRDefault="002A4292" w:rsidP="007C6CEF">
    <w:pPr>
      <w:pStyle w:val="Header"/>
      <w:jc w:val="center"/>
      <w:rPr>
        <w:color w:val="FF0000"/>
      </w:rPr>
    </w:pPr>
    <w:r w:rsidRPr="006D41D9">
      <w:t>Email completed form t</w:t>
    </w:r>
    <w:r w:rsidR="00F20058" w:rsidRPr="006D41D9">
      <w:t>o</w:t>
    </w:r>
    <w:r w:rsidR="006D41D9" w:rsidRPr="006D41D9">
      <w:rPr>
        <w:i/>
        <w:iCs/>
        <w:color w:val="FF0000"/>
      </w:rPr>
      <w:t xml:space="preserve"> </w:t>
    </w:r>
    <w:proofErr w:type="spellStart"/>
    <w:r w:rsidR="006D41D9" w:rsidRPr="006D41D9">
      <w:rPr>
        <w:i/>
        <w:iCs/>
        <w:color w:val="FF0000"/>
      </w:rPr>
      <w:t>Recinda</w:t>
    </w:r>
    <w:proofErr w:type="spellEnd"/>
    <w:r w:rsidR="00BD2CE7">
      <w:rPr>
        <w:i/>
        <w:iCs/>
        <w:color w:val="FF0000"/>
      </w:rPr>
      <w:t xml:space="preserve"> Sherman</w:t>
    </w:r>
    <w:r w:rsidR="00357587">
      <w:rPr>
        <w:i/>
        <w:iCs/>
        <w:color w:val="FF0000"/>
      </w:rPr>
      <w:t xml:space="preserve"> (rsherman@naaccr.org)</w:t>
    </w:r>
  </w:p>
  <w:p w14:paraId="55F19516" w14:textId="36A595B5" w:rsidR="00F20058" w:rsidRPr="006D41D9" w:rsidRDefault="00F20058" w:rsidP="007C6CEF">
    <w:pPr>
      <w:pStyle w:val="Header"/>
      <w:jc w:val="center"/>
    </w:pPr>
    <w:r w:rsidRPr="006D41D9">
      <w:t xml:space="preserve">Please provide comments no later than </w:t>
    </w:r>
    <w:r w:rsidR="00530EF0">
      <w:rPr>
        <w:i/>
        <w:iCs/>
        <w:color w:val="FF0000"/>
      </w:rPr>
      <w:t>Thursday</w:t>
    </w:r>
    <w:r w:rsidRPr="006D41D9">
      <w:rPr>
        <w:i/>
        <w:iCs/>
        <w:color w:val="FF0000"/>
      </w:rPr>
      <w:t>, July</w:t>
    </w:r>
    <w:r w:rsidR="00B07EEE" w:rsidRPr="006D41D9">
      <w:rPr>
        <w:i/>
        <w:iCs/>
        <w:color w:val="FF0000"/>
      </w:rPr>
      <w:t xml:space="preserve"> 2</w:t>
    </w:r>
    <w:r w:rsidR="00530EF0">
      <w:rPr>
        <w:i/>
        <w:iCs/>
        <w:color w:val="FF0000"/>
      </w:rPr>
      <w:t>1</w:t>
    </w:r>
    <w:r w:rsidR="00B07EEE" w:rsidRPr="006D41D9">
      <w:rPr>
        <w:i/>
        <w:iCs/>
        <w:color w:val="FF0000"/>
      </w:rPr>
      <w:t>, 2022</w:t>
    </w:r>
    <w:r w:rsidR="00E13341">
      <w:rPr>
        <w:i/>
        <w:iCs/>
        <w:color w:val="FF0000"/>
      </w:rPr>
      <w:t xml:space="preserve"> -</w:t>
    </w:r>
    <w:r w:rsidR="00B07EEE" w:rsidRPr="006D41D9">
      <w:rPr>
        <w:i/>
        <w:iCs/>
        <w:color w:val="FF0000"/>
      </w:rPr>
      <w:t xml:space="preserve"> </w:t>
    </w:r>
    <w:r w:rsidR="006D41D9" w:rsidRPr="006D41D9">
      <w:rPr>
        <w:i/>
        <w:iCs/>
        <w:color w:val="FF0000"/>
      </w:rPr>
      <w:t>5:00pm Eastern</w:t>
    </w:r>
    <w:r w:rsidRPr="006D41D9">
      <w:rPr>
        <w:color w:val="FF0000"/>
      </w:rPr>
      <w:t xml:space="preserve"> </w:t>
    </w:r>
  </w:p>
  <w:p w14:paraId="7DADAFC1" w14:textId="77777777" w:rsidR="0045695B" w:rsidRDefault="00456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5B"/>
    <w:rsid w:val="00054142"/>
    <w:rsid w:val="000E44F8"/>
    <w:rsid w:val="0010541F"/>
    <w:rsid w:val="00195CA6"/>
    <w:rsid w:val="002033F5"/>
    <w:rsid w:val="002426A7"/>
    <w:rsid w:val="00272127"/>
    <w:rsid w:val="002A4292"/>
    <w:rsid w:val="002B63E5"/>
    <w:rsid w:val="00357587"/>
    <w:rsid w:val="0045695B"/>
    <w:rsid w:val="00530EF0"/>
    <w:rsid w:val="006B2C8D"/>
    <w:rsid w:val="006D41D9"/>
    <w:rsid w:val="007C6CEF"/>
    <w:rsid w:val="0081284C"/>
    <w:rsid w:val="00863BB4"/>
    <w:rsid w:val="00866E1A"/>
    <w:rsid w:val="00924183"/>
    <w:rsid w:val="009B2162"/>
    <w:rsid w:val="00A42F71"/>
    <w:rsid w:val="00AC3C78"/>
    <w:rsid w:val="00B07EEE"/>
    <w:rsid w:val="00B24B35"/>
    <w:rsid w:val="00B32704"/>
    <w:rsid w:val="00BC0EC5"/>
    <w:rsid w:val="00BD2CE7"/>
    <w:rsid w:val="00C4495F"/>
    <w:rsid w:val="00D93DB4"/>
    <w:rsid w:val="00E13341"/>
    <w:rsid w:val="00E93CDF"/>
    <w:rsid w:val="00F104A9"/>
    <w:rsid w:val="00F2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34DD5"/>
  <w15:chartTrackingRefBased/>
  <w15:docId w15:val="{CDF2513A-B66C-584D-BE34-D32D01A3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6CE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95B"/>
    <w:pPr>
      <w:tabs>
        <w:tab w:val="center" w:pos="4680"/>
        <w:tab w:val="right" w:pos="9360"/>
      </w:tabs>
    </w:pPr>
  </w:style>
  <w:style w:type="character" w:customStyle="1" w:styleId="HeaderChar">
    <w:name w:val="Header Char"/>
    <w:basedOn w:val="DefaultParagraphFont"/>
    <w:link w:val="Header"/>
    <w:uiPriority w:val="99"/>
    <w:rsid w:val="0045695B"/>
  </w:style>
  <w:style w:type="paragraph" w:styleId="Footer">
    <w:name w:val="footer"/>
    <w:basedOn w:val="Normal"/>
    <w:link w:val="FooterChar"/>
    <w:uiPriority w:val="99"/>
    <w:unhideWhenUsed/>
    <w:rsid w:val="0045695B"/>
    <w:pPr>
      <w:tabs>
        <w:tab w:val="center" w:pos="4680"/>
        <w:tab w:val="right" w:pos="9360"/>
      </w:tabs>
    </w:pPr>
  </w:style>
  <w:style w:type="character" w:customStyle="1" w:styleId="FooterChar">
    <w:name w:val="Footer Char"/>
    <w:basedOn w:val="DefaultParagraphFont"/>
    <w:link w:val="Footer"/>
    <w:uiPriority w:val="99"/>
    <w:rsid w:val="0045695B"/>
  </w:style>
  <w:style w:type="character" w:styleId="Hyperlink">
    <w:name w:val="Hyperlink"/>
    <w:basedOn w:val="DefaultParagraphFont"/>
    <w:uiPriority w:val="99"/>
    <w:unhideWhenUsed/>
    <w:rsid w:val="0045695B"/>
    <w:rPr>
      <w:color w:val="0563C1" w:themeColor="hyperlink"/>
      <w:u w:val="single"/>
    </w:rPr>
  </w:style>
  <w:style w:type="character" w:styleId="UnresolvedMention">
    <w:name w:val="Unresolved Mention"/>
    <w:basedOn w:val="DefaultParagraphFont"/>
    <w:uiPriority w:val="99"/>
    <w:semiHidden/>
    <w:unhideWhenUsed/>
    <w:rsid w:val="0045695B"/>
    <w:rPr>
      <w:color w:val="605E5C"/>
      <w:shd w:val="clear" w:color="auto" w:fill="E1DFDD"/>
    </w:rPr>
  </w:style>
  <w:style w:type="character" w:customStyle="1" w:styleId="Heading3Char">
    <w:name w:val="Heading 3 Char"/>
    <w:basedOn w:val="DefaultParagraphFont"/>
    <w:link w:val="Heading3"/>
    <w:uiPriority w:val="9"/>
    <w:rsid w:val="007C6C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6CE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5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2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4366">
      <w:bodyDiv w:val="1"/>
      <w:marLeft w:val="0"/>
      <w:marRight w:val="0"/>
      <w:marTop w:val="0"/>
      <w:marBottom w:val="0"/>
      <w:divBdr>
        <w:top w:val="none" w:sz="0" w:space="0" w:color="auto"/>
        <w:left w:val="none" w:sz="0" w:space="0" w:color="auto"/>
        <w:bottom w:val="none" w:sz="0" w:space="0" w:color="auto"/>
        <w:right w:val="none" w:sz="0" w:space="0" w:color="auto"/>
      </w:divBdr>
    </w:div>
    <w:div w:id="11443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CDC-2022-0070-0001" TargetMode="External"/><Relationship Id="rId3" Type="http://schemas.openxmlformats.org/officeDocument/2006/relationships/settings" Target="settings.xml"/><Relationship Id="rId7" Type="http://schemas.openxmlformats.org/officeDocument/2006/relationships/hyperlink" Target="https://www.federalregister.gov/documents/2022/05/25/2022-11237/draft-guidelines-for-examining-unusual-patterns-of-cancer-and-environmental-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Stroup</dc:creator>
  <cp:keywords/>
  <dc:description/>
  <cp:lastModifiedBy>Antoinette Stroup</cp:lastModifiedBy>
  <cp:revision>29</cp:revision>
  <dcterms:created xsi:type="dcterms:W3CDTF">2022-06-29T16:55:00Z</dcterms:created>
  <dcterms:modified xsi:type="dcterms:W3CDTF">2022-06-30T18:18:00Z</dcterms:modified>
</cp:coreProperties>
</file>